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0"/>
          <w:szCs w:val="20"/>
          <w:highlight w:val="none"/>
        </w:rPr>
      </w:pPr>
      <w:r>
        <w:rPr>
          <w:sz w:val="20"/>
          <w:szCs w:val="20"/>
        </w:rPr>
      </w:r>
      <w:bookmarkStart w:id="0" w:name="_Toc46743519"/>
      <w:r>
        <w:rPr>
          <w:sz w:val="20"/>
          <w:szCs w:val="20"/>
        </w:rPr>
      </w:r>
      <w:bookmarkStart w:id="1" w:name="_Toc51339699"/>
      <w:r>
        <w:rPr>
          <w:bCs/>
          <w:sz w:val="20"/>
          <w:szCs w:val="20"/>
        </w:rPr>
        <w:t xml:space="preserve">Приложение № 1 к Техническим требованиям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</w:r>
      <w:bookmarkStart w:id="2" w:name="RANGE!A1:D25"/>
      <w:r>
        <w:rPr>
          <w:sz w:val="22"/>
          <w:szCs w:val="22"/>
        </w:rPr>
      </w:r>
      <w:bookmarkEnd w:id="0"/>
      <w:r>
        <w:rPr>
          <w:sz w:val="22"/>
          <w:szCs w:val="22"/>
        </w:rPr>
      </w:r>
      <w:bookmarkEnd w:id="1"/>
      <w:r>
        <w:rPr>
          <w:sz w:val="22"/>
          <w:szCs w:val="22"/>
        </w:rPr>
      </w:r>
      <w:bookmarkEnd w:id="2"/>
      <w:r>
        <w:rPr>
          <w:b/>
          <w:sz w:val="22"/>
          <w:szCs w:val="22"/>
        </w:rPr>
        <w:t xml:space="preserve">Требования к составлению сметной документации</w:t>
      </w:r>
      <w:r>
        <w:rPr>
          <w:b/>
          <w:sz w:val="22"/>
          <w:szCs w:val="22"/>
        </w:rPr>
        <w:t xml:space="preserve">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не допускается</w:t>
      </w:r>
      <w:r>
        <w:rPr>
          <w:rFonts w:ascii="Times New Roman" w:hAnsi="Times New Roman" w:cs="Times New Roman"/>
          <w:sz w:val="22"/>
          <w:szCs w:val="22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должна быть не ниже 2021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</w:t>
      </w:r>
      <w:r>
        <w:rPr>
          <w:rFonts w:ascii="Times New Roman" w:hAnsi="Times New Roman" w:cs="Times New Roman"/>
          <w:sz w:val="22"/>
          <w:szCs w:val="22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cs="Times New Roman"/>
          <w:sz w:val="22"/>
          <w:szCs w:val="22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«</w:t>
      </w:r>
      <w:r>
        <w:rPr>
          <w:rFonts w:ascii="Times New Roman" w:hAnsi="Times New Roman" w:cs="Times New Roman"/>
          <w:sz w:val="22"/>
          <w:szCs w:val="22"/>
        </w:rPr>
        <w:t xml:space="preserve">ФСНБ</w:t>
      </w:r>
      <w:r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 xml:space="preserve">2» актуальной редакции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ascii="Times New Roman" w:hAnsi="Times New Roman"/>
          <w:sz w:val="22"/>
          <w:szCs w:val="22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</w:t>
      </w:r>
      <w:r>
        <w:rPr>
          <w:rFonts w:ascii="Times New Roman" w:hAnsi="Times New Roman"/>
          <w:sz w:val="22"/>
          <w:szCs w:val="22"/>
        </w:rPr>
        <w:t xml:space="preserve">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>
        <w:rPr>
          <w:rFonts w:ascii="Times New Roman" w:hAnsi="Times New Roman" w:cs="Times New Roman"/>
          <w:sz w:val="22"/>
          <w:szCs w:val="22"/>
        </w:rPr>
        <w:t xml:space="preserve">ресурсно-индексным</w:t>
      </w:r>
      <w:r>
        <w:rPr>
          <w:rFonts w:ascii="Times New Roman" w:hAnsi="Times New Roman" w:cs="Times New Roman"/>
          <w:sz w:val="22"/>
          <w:szCs w:val="22"/>
        </w:rPr>
        <w:t xml:space="preserve"> методом применяются индексы изменения сметной стоимости: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1064"/>
        <w:numPr>
          <w:ilvl w:val="0"/>
          <w:numId w:val="46"/>
        </w:numPr>
        <w:contextualSpacing w:val="0"/>
        <w:ind w:left="0" w:firstLine="709"/>
        <w:jc w:val="both"/>
        <w:spacing w:before="40" w:after="40"/>
        <w:tabs>
          <w:tab w:val="left" w:pos="1134" w:leader="none"/>
        </w:tabs>
      </w:pPr>
      <w:r>
        <w:rPr>
          <w:sz w:val="22"/>
          <w:szCs w:val="22"/>
        </w:rPr>
        <w:t xml:space="preserve">индексы к отдельным строительным ресурсам, индексы к группам строительных ресурсов</w:t>
      </w:r>
      <w:r>
        <w:rPr>
          <w:b/>
          <w:sz w:val="22"/>
          <w:szCs w:val="22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/>
    </w:p>
    <w:p>
      <w:pPr>
        <w:pStyle w:val="1064"/>
        <w:numPr>
          <w:ilvl w:val="0"/>
          <w:numId w:val="46"/>
        </w:numPr>
        <w:contextualSpacing w:val="0"/>
        <w:ind w:left="0" w:firstLine="709"/>
        <w:jc w:val="both"/>
        <w:spacing w:before="40" w:after="40"/>
        <w:tabs>
          <w:tab w:val="left" w:pos="1134" w:leader="none"/>
        </w:tabs>
      </w:pPr>
      <w:r>
        <w:rPr>
          <w:sz w:val="22"/>
          <w:szCs w:val="22"/>
        </w:rPr>
        <w:t xml:space="preserve">индексы изменения сметных цен </w:t>
      </w:r>
      <w:r>
        <w:rPr>
          <w:b/>
          <w:sz w:val="22"/>
          <w:szCs w:val="22"/>
        </w:rPr>
        <w:t xml:space="preserve">на перевозку грузов</w:t>
      </w:r>
      <w:r>
        <w:rPr>
          <w:sz w:val="22"/>
          <w:szCs w:val="22"/>
        </w:rPr>
        <w:t xml:space="preserve"> – применяютс</w:t>
      </w:r>
      <w:r>
        <w:rPr>
          <w:sz w:val="22"/>
          <w:szCs w:val="22"/>
        </w:rPr>
        <w:t xml:space="preserve">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  <w:r>
        <w:rPr>
          <w:sz w:val="22"/>
          <w:szCs w:val="22"/>
        </w:rPr>
      </w:r>
      <w:r/>
    </w:p>
    <w:p>
      <w:pPr>
        <w:pStyle w:val="1064"/>
        <w:numPr>
          <w:ilvl w:val="0"/>
          <w:numId w:val="46"/>
        </w:numPr>
        <w:contextualSpacing w:val="0"/>
        <w:ind w:left="0" w:firstLine="709"/>
        <w:jc w:val="both"/>
        <w:spacing w:before="40" w:after="40"/>
        <w:tabs>
          <w:tab w:val="left" w:pos="1134" w:leader="none"/>
        </w:tabs>
      </w:pPr>
      <w:r>
        <w:rPr>
          <w:sz w:val="22"/>
          <w:szCs w:val="22"/>
        </w:rPr>
        <w:t xml:space="preserve">индексы изменения сметной </w:t>
      </w:r>
      <w:r>
        <w:rPr>
          <w:b/>
          <w:sz w:val="22"/>
          <w:szCs w:val="22"/>
        </w:rPr>
        <w:t xml:space="preserve">стоимости оборудования</w:t>
      </w:r>
      <w:r>
        <w:rPr>
          <w:sz w:val="22"/>
          <w:szCs w:val="22"/>
        </w:rPr>
        <w:t xml:space="preserve"> – применяются к сметной стоимости оборудования;</w:t>
      </w:r>
      <w:r>
        <w:rPr>
          <w:sz w:val="22"/>
          <w:szCs w:val="22"/>
        </w:rPr>
      </w:r>
      <w:r/>
    </w:p>
    <w:p>
      <w:pPr>
        <w:pStyle w:val="1064"/>
        <w:numPr>
          <w:ilvl w:val="0"/>
          <w:numId w:val="46"/>
        </w:numPr>
        <w:contextualSpacing w:val="0"/>
        <w:ind w:left="0" w:firstLine="709"/>
        <w:jc w:val="both"/>
        <w:spacing w:before="40" w:after="40"/>
        <w:tabs>
          <w:tab w:val="left" w:pos="1134" w:leader="none"/>
          <w:tab w:val="clear" w:pos="1272" w:leader="none"/>
        </w:tabs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sz w:val="22"/>
          <w:szCs w:val="22"/>
        </w:rPr>
        <w:t xml:space="preserve">прочих работ и затрат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В случае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отсутствия</w:t>
      </w:r>
      <w:r>
        <w:rPr>
          <w:rFonts w:ascii="Times New Roman" w:hAnsi="Times New Roman" w:cs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cs="Times New Roman"/>
          <w:sz w:val="22"/>
          <w:szCs w:val="22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cs="Times New Roman"/>
          <w:sz w:val="22"/>
          <w:szCs w:val="22"/>
        </w:rPr>
        <w:t xml:space="preserve">труда </w:t>
      </w:r>
      <w:r>
        <w:rPr>
          <w:rFonts w:ascii="Times New Roman" w:hAnsi="Times New Roman" w:cs="Times New Roman"/>
          <w:sz w:val="22"/>
          <w:szCs w:val="22"/>
        </w:rPr>
        <w:t xml:space="preserve">для</w:t>
      </w:r>
      <w:r>
        <w:rPr>
          <w:rFonts w:ascii="Times New Roman" w:hAnsi="Times New Roman" w:cs="Times New Roman"/>
          <w:sz w:val="22"/>
          <w:szCs w:val="22"/>
        </w:rPr>
        <w:t xml:space="preserve"> ЕНиР и ВНиР определ</w:t>
      </w:r>
      <w:r>
        <w:rPr>
          <w:rFonts w:ascii="Times New Roman" w:hAnsi="Times New Roman" w:cs="Times New Roman"/>
          <w:sz w:val="22"/>
          <w:szCs w:val="22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64"/>
        <w:numPr>
          <w:ilvl w:val="0"/>
          <w:numId w:val="26"/>
        </w:numPr>
        <w:ind w:left="0" w:firstLine="709"/>
        <w:jc w:val="both"/>
      </w:pPr>
      <w:r>
        <w:t xml:space="preserve">При отсутствии информации о сметных ценах в ФГИС ЦС по материальным ресурсам и оборудова</w:t>
      </w:r>
      <w:r>
        <w:t xml:space="preserve">нию</w:t>
      </w:r>
      <w:r>
        <w:t xml:space="preserve"> или значительного отклонения цен на материалы и оборудования от стоимости,  учтенной нормативными сборниками ( более 10%)  их сметная цена формируется на основании данных ПК «Ресурсная карта» с последующим подтверждением на стадии расчетов обосновывающими</w:t>
      </w:r>
      <w:r>
        <w:t xml:space="preserve"> документами или технико-коммерческими предложениями  по наиболее экономичному варианту (минимальному значению) по результатам конъюнктурного анализа </w:t>
      </w:r>
      <w:r/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указанных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материальных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следующими методами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1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left" w:pos="1272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sz w:val="22"/>
          <w:szCs w:val="22"/>
          <w:highlight w:val="none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</w:t>
      </w:r>
      <w:r>
        <w:rPr>
          <w:rFonts w:ascii="Times New Roman" w:hAnsi="Times New Roman" w:cs="Times New Roman"/>
          <w:sz w:val="22"/>
          <w:szCs w:val="22"/>
        </w:rPr>
        <w:t xml:space="preserve">2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 xml:space="preserve">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>
        <w:rPr>
          <w:rFonts w:ascii="Times New Roman" w:hAnsi="Times New Roman" w:cs="Times New Roman"/>
          <w:sz w:val="22"/>
          <w:szCs w:val="22"/>
        </w:rPr>
        <w:t xml:space="preserve">способами), </w:t>
      </w:r>
      <w:r>
        <w:rPr>
          <w:rFonts w:ascii="Times New Roman" w:hAnsi="Times New Roman" w:cs="Times New Roman"/>
          <w:sz w:val="22"/>
          <w:szCs w:val="22"/>
        </w:rPr>
        <w:t xml:space="preserve">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1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  <w:tab w:val="left" w:pos="1272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cs="Times New Roman"/>
          <w:sz w:val="22"/>
          <w:szCs w:val="22"/>
        </w:rPr>
        <w:t xml:space="preserve">Приложением №2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способами</w:t>
      </w:r>
      <w:r>
        <w:rPr>
          <w:rFonts w:ascii="Times New Roman" w:hAnsi="Times New Roman" w:cs="Times New Roman"/>
          <w:sz w:val="22"/>
          <w:szCs w:val="22"/>
        </w:rPr>
        <w:t xml:space="preserve">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Если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</w:t>
      </w:r>
      <w:r>
        <w:rPr>
          <w:rFonts w:ascii="Times New Roman" w:hAnsi="Times New Roman" w:cs="Times New Roman"/>
          <w:sz w:val="22"/>
          <w:szCs w:val="22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№2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 включаются в Главу 9 ССРСС.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По предоставляемым грузоподъемным механизмам, учтенным в составе сметных норм и расценок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И</w:t>
      </w:r>
      <w:r>
        <w:rPr>
          <w:rFonts w:ascii="Times New Roman" w:hAnsi="Times New Roman" w:cs="Times New Roman"/>
          <w:sz w:val="22"/>
          <w:szCs w:val="22"/>
        </w:rPr>
        <w:t xml:space="preserve">сключать из норм и расценок предоставляемые грузоподъемные механизмы.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64"/>
        <w:ind w:left="0" w:firstLine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sz w:val="22"/>
          <w:szCs w:val="22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формировании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При формировании цены по сборникам ГЭСН (</w:t>
      </w:r>
      <w:r>
        <w:rPr>
          <w:rFonts w:ascii="Times New Roman" w:hAnsi="Times New Roman" w:cs="Times New Roman"/>
          <w:sz w:val="22"/>
          <w:szCs w:val="22"/>
        </w:rPr>
        <w:t xml:space="preserve">ГЭСН</w:t>
      </w:r>
      <w:r>
        <w:rPr>
          <w:rFonts w:ascii="Times New Roman" w:hAnsi="Times New Roman" w:cs="Times New Roman"/>
          <w:sz w:val="22"/>
          <w:szCs w:val="22"/>
        </w:rPr>
        <w:t xml:space="preserve">р, </w:t>
      </w:r>
      <w:r>
        <w:rPr>
          <w:rFonts w:ascii="Times New Roman" w:hAnsi="Times New Roman" w:cs="Times New Roman"/>
          <w:sz w:val="22"/>
          <w:szCs w:val="22"/>
        </w:rPr>
        <w:t xml:space="preserve">ГЭСН</w:t>
      </w:r>
      <w:r>
        <w:rPr>
          <w:rFonts w:ascii="Times New Roman" w:hAnsi="Times New Roman" w:cs="Times New Roman"/>
          <w:sz w:val="22"/>
          <w:szCs w:val="22"/>
        </w:rPr>
        <w:t xml:space="preserve">м, </w:t>
      </w:r>
      <w:r>
        <w:rPr>
          <w:rFonts w:ascii="Times New Roman" w:hAnsi="Times New Roman" w:cs="Times New Roman"/>
          <w:sz w:val="22"/>
          <w:szCs w:val="22"/>
        </w:rPr>
        <w:t xml:space="preserve">ГЭСН</w:t>
      </w:r>
      <w:r>
        <w:rPr>
          <w:rFonts w:ascii="Times New Roman" w:hAnsi="Times New Roman" w:cs="Times New Roman"/>
          <w:sz w:val="22"/>
          <w:szCs w:val="22"/>
        </w:rPr>
        <w:t xml:space="preserve">п) нормативы сметной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прибыли при производстве ремонтных работ принимать на СМР – 30% от ФОТ, на ПНР – 36% от ФОТ.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/>
    </w:p>
    <w:p>
      <w:pPr>
        <w:pStyle w:val="1082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20.1. При производстве СМР и ПНР лимиты командировочных расходов на стадии расчетов принимать в размере не более: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/>
    </w:p>
    <w:p>
      <w:pPr>
        <w:pStyle w:val="1082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суточные – 700 руб./сутки;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/>
    </w:p>
    <w:p>
      <w:pPr>
        <w:pStyle w:val="1082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проживание – 550 руб./сутки;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/>
    </w:p>
    <w:p>
      <w:pPr>
        <w:pStyle w:val="1082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/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cs="Times New Roman"/>
          <w:sz w:val="22"/>
          <w:szCs w:val="22"/>
        </w:rPr>
        <w:t xml:space="preserve"> или складирования) и разгрузки строитель</w:t>
      </w:r>
      <w:r>
        <w:rPr>
          <w:rFonts w:ascii="Times New Roman" w:hAnsi="Times New Roman" w:cs="Times New Roman"/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sz w:val="22"/>
          <w:szCs w:val="22"/>
        </w:rPr>
      </w:r>
      <w:bookmarkStart w:id="6" w:name="_Ref19086149"/>
      <w:r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округлять:</w:t>
      </w:r>
      <w:bookmarkEnd w:id="6"/>
      <w:r>
        <w:rPr>
          <w:rFonts w:ascii="Times New Roman" w:hAnsi="Times New Roman" w:cs="Times New Roman"/>
          <w:b/>
          <w:sz w:val="22"/>
          <w:szCs w:val="22"/>
          <w:u w:val="single"/>
        </w:rPr>
      </w:r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ресурсном методах, а также в сметных расчетах на отдельные виды затрат - </w:t>
      </w:r>
      <w:r>
        <w:rPr>
          <w:rFonts w:ascii="Times New Roman" w:hAnsi="Times New Roman" w:cs="Times New Roman"/>
          <w:sz w:val="22"/>
          <w:szCs w:val="22"/>
        </w:rPr>
        <w:t xml:space="preserve">в 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до целых единиц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рублях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до двух знаков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после запятой. Величину НДС не указывать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Выходные формы сметных расчетов должны соответствовать Образцу по приложению 1.5.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Рассчитанная сумма возврата стоимост</w:t>
      </w:r>
      <w:r>
        <w:rPr>
          <w:rFonts w:ascii="Times New Roman" w:hAnsi="Times New Roman" w:cs="Times New Roman"/>
          <w:sz w:val="22"/>
          <w:szCs w:val="22"/>
        </w:rPr>
        <w:t xml:space="preserve">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1014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применении индексов по статьям затрат в сметной документации для данного ресурса применять индекс на материалы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</w:t>
      </w:r>
      <w:r>
        <w:rPr>
          <w:rFonts w:ascii="Times New Roman" w:hAnsi="Times New Roman" w:cs="Times New Roman"/>
          <w:sz w:val="22"/>
          <w:szCs w:val="22"/>
        </w:rPr>
        <w:t xml:space="preserve">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t xml:space="preserve">При наличии двух и более сметных расчетов составлять ССР в текущем уровне цен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по форме </w:t>
      </w:r>
      <w:r>
        <w:rPr>
          <w:rFonts w:ascii="Times New Roman" w:hAnsi="Times New Roman" w:cs="Times New Roman"/>
          <w:sz w:val="22"/>
          <w:szCs w:val="22"/>
        </w:rPr>
        <w:t xml:space="preserve">Приложения </w:t>
      </w:r>
      <w:r>
        <w:rPr>
          <w:rFonts w:ascii="Times New Roman" w:hAnsi="Times New Roman" w:cs="Times New Roman"/>
          <w:sz w:val="22"/>
          <w:szCs w:val="22"/>
        </w:rPr>
        <w:t xml:space="preserve">№ </w:t>
      </w:r>
      <w:r>
        <w:rPr>
          <w:rFonts w:ascii="Times New Roman" w:hAnsi="Times New Roman" w:cs="Times New Roman"/>
          <w:sz w:val="22"/>
          <w:szCs w:val="22"/>
        </w:rPr>
        <w:t xml:space="preserve">1.1 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sz w:val="22"/>
          <w:szCs w:val="22"/>
        </w:rPr>
        <w:t xml:space="preserve">ЛСР (</w:t>
      </w:r>
      <w:r>
        <w:rPr>
          <w:rFonts w:ascii="Times New Roman" w:hAnsi="Times New Roman" w:cs="Times New Roman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 w:cs="Times New Roman"/>
          <w:sz w:val="22"/>
          <w:szCs w:val="22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sz w:val="22"/>
          <w:szCs w:val="22"/>
        </w:rPr>
        <w:t xml:space="preserve">№ 1.2 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</w:t>
      </w:r>
      <w:r>
        <w:rPr>
          <w:rFonts w:ascii="Times New Roman" w:hAnsi="Times New Roman" w:cs="Times New Roman"/>
          <w:sz w:val="22"/>
          <w:szCs w:val="22"/>
        </w:rPr>
        <w:t xml:space="preserve">сметной документации.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cs="Times New Roman"/>
          <w:sz w:val="22"/>
          <w:szCs w:val="22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ССР, построчные и итоговые суммы </w:t>
      </w:r>
      <w:r>
        <w:rPr>
          <w:rFonts w:ascii="Times New Roman" w:hAnsi="Times New Roman" w:cs="Times New Roman"/>
          <w:sz w:val="22"/>
          <w:szCs w:val="22"/>
        </w:rPr>
        <w:t xml:space="preserve">указывать </w:t>
      </w:r>
      <w:r>
        <w:rPr>
          <w:rFonts w:ascii="Times New Roman" w:hAnsi="Times New Roman" w:cs="Times New Roman"/>
          <w:sz w:val="22"/>
          <w:szCs w:val="22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С</w:t>
      </w:r>
      <w:r>
        <w:rPr>
          <w:rFonts w:ascii="Times New Roman" w:hAnsi="Times New Roman" w:cs="Times New Roman"/>
          <w:sz w:val="22"/>
          <w:szCs w:val="22"/>
        </w:rPr>
        <w:t xml:space="preserve">метная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документация должна быть представлена в двух вариан</w:t>
      </w:r>
      <w:r>
        <w:rPr>
          <w:rFonts w:ascii="Times New Roman" w:hAnsi="Times New Roman" w:cs="Times New Roman"/>
          <w:sz w:val="22"/>
          <w:szCs w:val="22"/>
        </w:rPr>
        <w:t xml:space="preserve">тах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: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н</w:t>
      </w:r>
      <w:r>
        <w:rPr>
          <w:rFonts w:ascii="Times New Roman" w:hAnsi="Times New Roman" w:cs="Times New Roman"/>
          <w:sz w:val="22"/>
          <w:szCs w:val="22"/>
        </w:rPr>
        <w:t xml:space="preserve">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cs="Times New Roman"/>
          <w:sz w:val="22"/>
          <w:szCs w:val="22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cs="Times New Roman"/>
          <w:sz w:val="22"/>
          <w:szCs w:val="22"/>
        </w:rPr>
        <w:t xml:space="preserve">l</w:t>
      </w:r>
      <w:r>
        <w:rPr>
          <w:rFonts w:ascii="Times New Roman" w:hAnsi="Times New Roman" w:cs="Times New Roman"/>
          <w:sz w:val="22"/>
          <w:szCs w:val="22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numPr>
          <w:ilvl w:val="0"/>
          <w:numId w:val="34"/>
        </w:numPr>
        <w:ind w:left="0" w:right="0" w:firstLine="709"/>
        <w:jc w:val="both"/>
        <w:spacing w:before="40" w:after="40"/>
        <w:tabs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082"/>
        <w:ind w:left="0" w:right="0" w:firstLine="0"/>
        <w:jc w:val="both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72242" cy="386534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739703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6372241" cy="386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1.75pt;height:304.36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64"/>
        <w:ind w:left="928" w:right="66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№1.1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82"/>
        <w:ind w:left="928" w:right="666" w:firstLine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highlight w:val="none"/>
        </w:rPr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pStyle w:val="1082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highlight w:val="none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ОБРАЗЕЦ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Договору № _________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СОГЛАСОВАНО: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УТВЕРЖДАЮ: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"_______" _____________ 20___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"______" ____________________ 20__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Сводный сметный расчет в сумме:______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 без НДС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(наименование стройки)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строительства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Главам 1-12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Непредвиденные затраты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с учетом "Непредвиденные затраты"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сводному расчету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64"/>
        <w:ind w:left="928"/>
        <w:rPr>
          <w:b/>
          <w:sz w:val="18"/>
          <w:szCs w:val="18"/>
        </w:rPr>
      </w:pPr>
      <w: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85.80pt;height:53.40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Icon" r:id="rId15" ObjectID="_1525041" ProgID="Excel.Sheet.12" ShapeID="_x0000_i1" Type="Embed"/>
        </w:objec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8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</w:pPr>
      <w:r>
        <w:rPr>
          <w:b/>
        </w:rPr>
        <w:t xml:space="preserve">ОБРАЗЕЦ</w:t>
      </w:r>
      <w:r>
        <w:t xml:space="preserve">       </w:t>
      </w:r>
      <w:r>
        <w:t xml:space="preserve">      </w:t>
      </w:r>
      <w:r/>
    </w:p>
    <w:p>
      <w:pPr>
        <w:ind w:left="8646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</w:t>
      </w:r>
      <w:r>
        <w:rPr>
          <w:sz w:val="20"/>
          <w:szCs w:val="20"/>
        </w:rPr>
        <w:t xml:space="preserve">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82"/>
        <w:ind w:left="5811"/>
        <w:jc w:val="right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545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5"/>
        <w:gridCol w:w="2"/>
      </w:tblGrid>
      <w:tr>
        <w:tblPrEx/>
        <w:trPr>
          <w:gridAfter w:val="1"/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СОГЛАСОВАНО: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835" w:type="dxa"/>
            <w:vAlign w:val="bottom"/>
            <w:textDirection w:val="lrTb"/>
            <w:noWrap/>
          </w:tcPr>
          <w:p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УТВЕРЖДАЮ: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 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835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835" w:type="dxa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без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(наименование стройки)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стоимость, руб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строитель-</w:t>
            </w:r>
            <w:r>
              <w:rPr>
                <w:sz w:val="18"/>
                <w:szCs w:val="18"/>
              </w:rPr>
              <w:br/>
              <w:t xml:space="preserve">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Сметы основного договора: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60"/>
        </w:trPr>
        <w:tc>
          <w:tcPr>
            <w:gridSpan w:val="2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Исключить дополнительным соглашением №___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435"/>
        </w:trPr>
        <w:tc>
          <w:tcPr>
            <w:gridSpan w:val="2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Включить дополнительным соглашением №____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№02-01-02/1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основного договора (без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ДС №___ от ___.__.20___г.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16" o:title=""/>
          </v:shape>
          <o:OLEObject DrawAspect="Icon" r:id="rId17" ObjectID="_1525042" ProgID="Excel.Sheet.12" ShapeID="_x0000_i2" Type="Embed"/>
        </w:objec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pStyle w:val="108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b/>
        </w:rPr>
      </w:pPr>
      <w:r/>
      <w:bookmarkStart w:id="7" w:name="P3258"/>
      <w:r/>
      <w:bookmarkStart w:id="8" w:name="P2506"/>
      <w:r/>
      <w:bookmarkStart w:id="9" w:name="P2522"/>
      <w:r/>
      <w:bookmarkStart w:id="10" w:name="P2523"/>
      <w:r/>
      <w:bookmarkStart w:id="11" w:name="P2524"/>
      <w:r/>
      <w:bookmarkStart w:id="12" w:name="P2525"/>
      <w:r/>
      <w:bookmarkStart w:id="13" w:name="P2526"/>
      <w:r/>
      <w:bookmarkStart w:id="14" w:name="P2527"/>
      <w:r/>
      <w:bookmarkStart w:id="15" w:name="P2528"/>
      <w:r/>
      <w:bookmarkStart w:id="16" w:name="P2529"/>
      <w:r/>
      <w:bookmarkStart w:id="17" w:name="P2530"/>
      <w:r/>
      <w:bookmarkStart w:id="18" w:name="P2531"/>
      <w:r/>
      <w:bookmarkStart w:id="19" w:name="P2546"/>
      <w:r/>
      <w:bookmarkStart w:id="20" w:name="P2566"/>
      <w:r/>
      <w:bookmarkStart w:id="21" w:name="P2616"/>
      <w:r/>
      <w:bookmarkStart w:id="22" w:name="P2736"/>
      <w:r/>
      <w:bookmarkStart w:id="23" w:name="P2746"/>
      <w:r/>
      <w:bookmarkStart w:id="24" w:name="P2945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>
        <w:rPr>
          <w:b/>
        </w:rPr>
      </w:r>
      <w:r>
        <w:rPr>
          <w:b/>
        </w:rPr>
      </w:r>
    </w:p>
    <w:p>
      <w:pPr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ОБРАЗЕЦ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№1.3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82"/>
        <w:ind w:left="0" w:right="0" w:firstLine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Требованиям к составлению сметной документации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Сопоставительная ведомость изменения сметной стоимости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both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шифр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включению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исключению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82"/>
        <w:ind w:left="0" w:right="0" w:firstLine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Требованиям к составлению сметной документации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highlight w:val="none"/>
        </w:rPr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108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82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82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2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изм.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82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07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82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82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82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82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2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2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82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82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1082"/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082"/>
        <w:jc w:val="both"/>
      </w:pPr>
      <w:r/>
      <w:r/>
    </w:p>
    <w:p>
      <w:pPr>
        <w:ind w:left="12891" w:firstLine="561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2396" w:right="841" w:firstLine="1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Требованиям к составлению </w:t>
      </w:r>
      <w:r>
        <w:rPr>
          <w:sz w:val="20"/>
          <w:szCs w:val="20"/>
        </w:rPr>
        <w:t xml:space="preserve">сметной документации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1021"/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2748"/>
        <w:gridCol w:w="638"/>
        <w:gridCol w:w="57"/>
        <w:gridCol w:w="557"/>
        <w:gridCol w:w="6"/>
        <w:gridCol w:w="40"/>
        <w:gridCol w:w="11"/>
        <w:gridCol w:w="46"/>
        <w:gridCol w:w="57"/>
        <w:gridCol w:w="645"/>
        <w:gridCol w:w="51"/>
        <w:gridCol w:w="103"/>
        <w:gridCol w:w="645"/>
        <w:gridCol w:w="51"/>
        <w:gridCol w:w="103"/>
        <w:gridCol w:w="973"/>
        <w:gridCol w:w="51"/>
        <w:gridCol w:w="102"/>
        <w:gridCol w:w="1031"/>
        <w:gridCol w:w="51"/>
        <w:gridCol w:w="102"/>
        <w:gridCol w:w="646"/>
        <w:gridCol w:w="52"/>
        <w:gridCol w:w="103"/>
        <w:gridCol w:w="359"/>
        <w:gridCol w:w="51"/>
        <w:gridCol w:w="102"/>
        <w:gridCol w:w="646"/>
        <w:gridCol w:w="52"/>
        <w:gridCol w:w="103"/>
        <w:gridCol w:w="973"/>
        <w:gridCol w:w="51"/>
        <w:gridCol w:w="102"/>
        <w:gridCol w:w="3007"/>
        <w:gridCol w:w="8"/>
        <w:gridCol w:w="52"/>
      </w:tblGrid>
      <w:tr>
        <w:tblPrEx/>
        <w:trPr>
          <w:gridAfter w:val="2"/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СОГЛАСОВАНО: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УТВЕРЖДАЮ:</w:t>
            </w:r>
            <w:r/>
          </w:p>
        </w:tc>
      </w:tr>
      <w:tr>
        <w:tblPrEx/>
        <w:trPr>
          <w:gridAfter w:val="2"/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9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____________________/_____________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33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____________________/_______________</w:t>
            </w:r>
            <w:r/>
          </w:p>
        </w:tc>
      </w:tr>
      <w:tr>
        <w:tblPrEx/>
        <w:trPr>
          <w:gridAfter w:val="2"/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9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"____" ________________ 202__года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33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"____" ________________ 202__года</w:t>
            </w:r>
            <w:r/>
          </w:p>
        </w:tc>
      </w:tr>
      <w:tr>
        <w:tblPrEx/>
        <w:trPr>
          <w:gridAfter w:val="2"/>
          <w:trHeight w:val="4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5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программного продукта</w:t>
            </w:r>
            <w:r/>
          </w:p>
        </w:tc>
        <w:tc>
          <w:tcPr>
            <w:gridSpan w:val="31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ГРАНД-Смета, версия 2024.3</w:t>
            </w:r>
            <w:r/>
          </w:p>
        </w:tc>
      </w:tr>
      <w:tr>
        <w:tblPrEx/>
        <w:trPr>
          <w:gridAfter w:val="1"/>
          <w:trHeight w:val="67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редакции сметных нормативов 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Приказ Минстроя России от 30.12.2021 № 1046/пр; Приказ Минстроя России от 04.08.2020 № 421/пр; Приказ Минстроя России от 21.12.2020 № 812/пр; Приказ Минстроя России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от 11.12.2020 № 774/пр; Приказ Минстроя России от 02.08.2023 № 551/пр; Приказ Минстроя России от 14.11.2023 № 817/пр; Приказ Минстроя России от 16.02.2024 № 102/пр; Приказ Минстроя России от 13.05.2024 №323/пр; Приказ Минстроя России от 09.08.2024 №524/пр</w:t>
            </w:r>
            <w:r/>
          </w:p>
        </w:tc>
      </w:tr>
      <w:tr>
        <w:tblPrEx/>
        <w:trPr>
          <w:gridAfter w:val="1"/>
          <w:trHeight w:val="11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Реквизиты приказа  Минстроя России  об утверждении дополнений и изменений к сметным нормативам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Приказ Минстроя России от 18 мая 2022 г. № 378/пр, Приказ Минстроя России от 26 августа 2022 г. № 703/пр, Приказ Минстроя России от 26 октября 2022 г. № 905/пр, Приказ Минстроя России от 27 декабря 2022 г. № 1133/пр, Приказ М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инстроя России от 10 февраля 2023 г. № 84/пр, Приказ Минстроя России от 11.05.2023 №335/пр; Приказ Минстроя России от 07.07.2022 № 557/пр; Приказ Минстроя России от 02.09.2021 № 636/пр, Приказ Минстроя России от 26.07.2022 № 611/пр; Приказ Минстроя России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от 22.04.2022 № 317/пр; Приказ Минстроя России от 02.08.2023 № 551/пр; Приказ Минстроя России от 14.11.2023 № 817/пр; Приказ Минстроя России от 16.02.2024 № 102/пр;  Приказ Минстроя России от 13.05.2024 №323/пр; Приказ Минстроя России от 09.08.2024 №524/пр</w:t>
            </w:r>
            <w:r/>
          </w:p>
        </w:tc>
      </w:tr>
      <w:tr>
        <w:tblPrEx/>
        <w:trPr>
          <w:gridAfter w:val="1"/>
          <w:trHeight w:val="135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ельстве, подготовленного  в соответствии  пунктом 85 Методики  расчета индексов изменения  сметной стоимости строительства, утвержденной  приказом Министерства строительства и жилищно-коммунального хозяйства Российской Федерации от 5 июня 2019 г. № 326/пр¹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Письмо Минстроя России от 23.08.2024 № 48886-ИФ/09</w:t>
            </w:r>
            <w:r/>
          </w:p>
        </w:tc>
      </w:tr>
      <w:tr>
        <w:tblPrEx/>
        <w:trPr>
          <w:gridAfter w:val="1"/>
          <w:trHeight w:val="67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Реквизиты нормативного  правового  акта  об утверждении оплаты труда, утверждаемый  в соответствии с пунктом 22(1) Правилами мониторинга цен, утвержденными постановлением Правительства Российской Федерации от 23 декабря 2016 г. № 1452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Приказ от 18.04.2024 № 2</w:t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Обоснование принятых текущих цен на строительные ресурсы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субъекта Российской Федерации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27. Хабаровский край</w:t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48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зоны субъекта Российской Федерации </w:t>
            </w:r>
            <w:r/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3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Хабаровский край (1 зона)</w:t>
            </w:r>
            <w:r/>
          </w:p>
        </w:tc>
      </w:tr>
      <w:tr>
        <w:tblPrEx/>
        <w:trPr>
          <w:gridAfter w:val="2"/>
          <w:trHeight w:val="1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300"/>
        </w:trPr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(наименование стройки)</w:t>
            </w:r>
            <w:r/>
          </w:p>
        </w:tc>
      </w:tr>
      <w:tr>
        <w:tblPrEx/>
        <w:trPr>
          <w:gridAfter w:val="2"/>
          <w:trHeight w:val="1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1"/>
          <w:trHeight w:val="0"/>
        </w:trPr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(наименование объекта капитального строительства)</w:t>
            </w:r>
            <w:r/>
          </w:p>
        </w:tc>
      </w:tr>
      <w:tr>
        <w:tblPrEx/>
        <w:trPr>
          <w:gridAfter w:val="1"/>
          <w:trHeight w:val="34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  <w:t xml:space="preserve">ЛОКАЛЬНЫЙ СМЕТНЫЙ РАСЧЕТ (СМЕТА) №</w:t>
            </w:r>
            <w:r/>
          </w:p>
        </w:tc>
      </w:tr>
      <w:tr>
        <w:tblPrEx/>
        <w:trPr>
          <w:gridAfter w:val="2"/>
          <w:trHeight w:val="1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25"/>
        </w:trPr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1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 (наименование работ и затрат)</w:t>
            </w:r>
            <w:r/>
          </w:p>
        </w:tc>
      </w:tr>
      <w:tr>
        <w:tblPrEx/>
        <w:trPr>
          <w:gridAfter w:val="2"/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Составлен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ресурсно-индексным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  <w:t xml:space="preserve">методом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Основание</w:t>
            </w:r>
            <w:r/>
          </w:p>
        </w:tc>
        <w:tc>
          <w:tcPr>
            <w:gridSpan w:val="4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00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6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0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(проектная и (или) иная техническая документация)</w:t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6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96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Составлен(а) в текущем уровне цен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6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36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24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96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Сметная стоимость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center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center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в том числе: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  <w:tr>
        <w:tblPrEx/>
        <w:trPr>
          <w:gridAfter w:val="2"/>
          <w:trHeight w:val="27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строительных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2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Средства на оплату труда рабочих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тыс.руб.</w:t>
            </w:r>
            <w:r/>
          </w:p>
        </w:tc>
      </w:tr>
      <w:tr>
        <w:tblPrEx/>
        <w:trPr>
          <w:gridAfter w:val="2"/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монтажных работ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2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Средства на оплату труда машинистов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тыс.руб.</w:t>
            </w:r>
            <w:r/>
          </w:p>
        </w:tc>
      </w:tr>
      <w:tr>
        <w:tblPrEx/>
        <w:trPr>
          <w:gridAfter w:val="2"/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оборудования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2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Нормативные затраты труда рабочих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чел.-ч.</w:t>
            </w:r>
            <w:r/>
          </w:p>
        </w:tc>
      </w:tr>
      <w:tr>
        <w:tblPrEx/>
        <w:trPr>
          <w:gridAfter w:val="2"/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прочих затрат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тыс.руб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2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Нормативные затраты труда машинистов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чел.-ч.</w:t>
            </w:r>
            <w:r/>
          </w:p>
        </w:tc>
      </w:tr>
      <w:tr>
        <w:tblPrEx/>
        <w:trPr>
          <w:gridAfter w:val="2"/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2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7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gridAfter w:val="1"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Обоснование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работ и затрат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Единица измерения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Количество</w:t>
            </w:r>
            <w:r/>
          </w:p>
        </w:tc>
        <w:tc>
          <w:tcPr>
            <w:gridSpan w:val="16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Сметная стоимость, руб.</w:t>
            </w:r>
            <w:r/>
          </w:p>
        </w:tc>
      </w:tr>
      <w:tr>
        <w:tblPrEx/>
        <w:trPr>
          <w:gridAfter w:val="1"/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 единицу измерения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коэффициенты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всего с учетом коэффициентов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 единицу измерения в базисном уровне цен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индекс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 единицу измерения в текущем уровне цен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коэффициенты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всего в текущем уровне цен</w:t>
            </w:r>
            <w:r/>
          </w:p>
        </w:tc>
      </w:tr>
      <w:tr>
        <w:tblPrEx/>
        <w:trPr>
          <w:gridAfter w:val="1"/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6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7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8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9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12</w:t>
            </w:r>
            <w:r/>
          </w:p>
        </w:tc>
      </w:tr>
    </w:tbl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357"/>
        <w:jc w:val="right"/>
      </w:pPr>
      <w:r>
        <w:rPr>
          <w:sz w:val="20"/>
          <w:szCs w:val="20"/>
        </w:rPr>
        <w:t xml:space="preserve">Приложение №2 </w:t>
      </w:r>
      <w:r>
        <w:rPr>
          <w:sz w:val="20"/>
          <w:szCs w:val="20"/>
        </w:rPr>
      </w:r>
      <w:r/>
    </w:p>
    <w:p>
      <w:pPr>
        <w:ind w:left="2396" w:right="0" w:firstLine="0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Требованиям к составлению </w:t>
      </w:r>
      <w:r>
        <w:rPr>
          <w:sz w:val="20"/>
          <w:szCs w:val="20"/>
        </w:rPr>
        <w:t xml:space="preserve">сметной </w:t>
      </w:r>
      <w:r>
        <w:rPr>
          <w:sz w:val="20"/>
          <w:szCs w:val="20"/>
        </w:rPr>
        <w:t xml:space="preserve">документации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09" w:firstLine="708"/>
        <w:jc w:val="right"/>
        <w:tabs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709" w:firstLine="708"/>
        <w:jc w:val="right"/>
        <w:tabs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709" w:firstLine="708"/>
        <w:jc w:val="right"/>
        <w:tabs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  <w:r>
        <w:object w:dxaOrig="1530" w:dyaOrig="99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6.20pt;height:49.80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3" ProgID="Excel.Sheet.12" ShapeID="_x0000_i3" Type="Embed"/>
        </w:object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3"/>
        <w:jc w:val="both"/>
      </w:pPr>
      <w:r>
        <w:t xml:space="preserve">1.</w:t>
      </w:r>
      <w:r>
        <w:t xml:space="preserve">Стоимость электроэнергии определять в соответствии с рекомендациями, изложенными по ссылке </w:t>
      </w:r>
      <w:r>
        <w:fldChar w:fldCharType="begin"/>
      </w:r>
      <w:r>
        <w:instrText xml:space="preserve"> HYPERLINK "http://grandsmeta82.ru/znaj-kak/grand-smeta-baza-znanij/109-raschet-zatrat-na-energonositeli-elektroenergiyu-toplivo-i-pr-v-grand-smete.html" </w:instrText>
      </w:r>
      <w:r>
        <w:fldChar w:fldCharType="separate"/>
      </w:r>
      <w:r>
        <w:rPr>
          <w:rStyle w:val="1034"/>
          <w:rFonts w:eastAsia="Arial"/>
        </w:rPr>
        <w:t xml:space="preserve">http://grandsmeta82.ru/znaj-kak/grand-smeta-baza-znanij/109-raschet-zatrat-na-energonositeli-elektroenergiyu-toplivo-i-pr-v-grand-smete.html</w:t>
      </w:r>
      <w:r>
        <w:rPr>
          <w:rStyle w:val="1034"/>
          <w:rFonts w:eastAsia="Arial"/>
        </w:rPr>
        <w:fldChar w:fldCharType="end"/>
      </w:r>
      <w:r/>
    </w:p>
    <w:p>
      <w:pPr>
        <w:pStyle w:val="1013"/>
        <w:jc w:val="both"/>
      </w:pPr>
      <w:r/>
      <w:r/>
    </w:p>
    <w:p>
      <w:pPr>
        <w:pStyle w:val="1013"/>
        <w:jc w:val="both"/>
      </w:pPr>
      <w:r/>
      <w:r/>
    </w:p>
    <w:p>
      <w:pPr>
        <w:pStyle w:val="1013"/>
        <w:jc w:val="both"/>
      </w:pPr>
      <w:r/>
      <w:r/>
    </w:p>
    <w:p>
      <w:pPr>
        <w:pStyle w:val="1013"/>
        <w:jc w:val="both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9"/>
      <w:rPr>
        <w:rStyle w:val="1031"/>
      </w:rPr>
      <w:framePr w:wrap="around" w:vAnchor="text" w:hAnchor="margin" w:xAlign="center" w:y="1"/>
    </w:pPr>
    <w:r>
      <w:rPr>
        <w:rStyle w:val="1031"/>
      </w:rPr>
      <w:fldChar w:fldCharType="begin"/>
    </w:r>
    <w:r>
      <w:rPr>
        <w:rStyle w:val="1031"/>
      </w:rPr>
      <w:instrText xml:space="preserve">PAGE  </w:instrText>
    </w:r>
    <w:r>
      <w:rPr>
        <w:rStyle w:val="1031"/>
      </w:rPr>
      <w:fldChar w:fldCharType="separate"/>
    </w:r>
    <w:r>
      <w:rPr>
        <w:rStyle w:val="1031"/>
      </w:rPr>
      <w:t xml:space="preserve">6</w:t>
    </w:r>
    <w:r>
      <w:rPr>
        <w:rStyle w:val="1031"/>
      </w:rPr>
      <w:fldChar w:fldCharType="end"/>
    </w:r>
    <w:r>
      <w:rPr>
        <w:rStyle w:val="1031"/>
      </w:rPr>
    </w:r>
    <w:r>
      <w:rPr>
        <w:rStyle w:val="1031"/>
      </w:rPr>
    </w:r>
  </w:p>
  <w:p>
    <w:pPr>
      <w:pStyle w:val="1019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9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9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0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0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0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1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1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9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0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00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92"/>
    <w:lvl w:ilvl="0">
      <w:start w:val="1"/>
      <w:numFmt w:val="decimal"/>
      <w:pStyle w:val="109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1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7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8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7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88"/>
    <w:lvl w:ilvl="0">
      <w:start w:val="3"/>
      <w:numFmt w:val="decimal"/>
      <w:pStyle w:val="108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7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2">
    <w:name w:val="Heading 1 Char"/>
    <w:basedOn w:val="1007"/>
    <w:link w:val="998"/>
    <w:uiPriority w:val="9"/>
    <w:rPr>
      <w:rFonts w:ascii="Arial" w:hAnsi="Arial" w:eastAsia="Arial" w:cs="Arial"/>
      <w:sz w:val="40"/>
      <w:szCs w:val="40"/>
    </w:rPr>
  </w:style>
  <w:style w:type="character" w:styleId="853">
    <w:name w:val="Heading 2 Char"/>
    <w:basedOn w:val="1007"/>
    <w:link w:val="999"/>
    <w:uiPriority w:val="9"/>
    <w:rPr>
      <w:rFonts w:ascii="Arial" w:hAnsi="Arial" w:eastAsia="Arial" w:cs="Arial"/>
      <w:sz w:val="34"/>
    </w:rPr>
  </w:style>
  <w:style w:type="character" w:styleId="854">
    <w:name w:val="Heading 3 Char"/>
    <w:basedOn w:val="1007"/>
    <w:link w:val="1000"/>
    <w:uiPriority w:val="9"/>
    <w:rPr>
      <w:rFonts w:ascii="Arial" w:hAnsi="Arial" w:eastAsia="Arial" w:cs="Arial"/>
      <w:sz w:val="30"/>
      <w:szCs w:val="30"/>
    </w:rPr>
  </w:style>
  <w:style w:type="character" w:styleId="855">
    <w:name w:val="Heading 4 Char"/>
    <w:basedOn w:val="1007"/>
    <w:link w:val="1001"/>
    <w:uiPriority w:val="9"/>
    <w:rPr>
      <w:rFonts w:ascii="Arial" w:hAnsi="Arial" w:eastAsia="Arial" w:cs="Arial"/>
      <w:b/>
      <w:bCs/>
      <w:sz w:val="26"/>
      <w:szCs w:val="26"/>
    </w:rPr>
  </w:style>
  <w:style w:type="character" w:styleId="856">
    <w:name w:val="Heading 5 Char"/>
    <w:basedOn w:val="1007"/>
    <w:link w:val="1002"/>
    <w:uiPriority w:val="9"/>
    <w:rPr>
      <w:rFonts w:ascii="Arial" w:hAnsi="Arial" w:eastAsia="Arial" w:cs="Arial"/>
      <w:b/>
      <w:bCs/>
      <w:sz w:val="24"/>
      <w:szCs w:val="24"/>
    </w:rPr>
  </w:style>
  <w:style w:type="character" w:styleId="857">
    <w:name w:val="Heading 6 Char"/>
    <w:basedOn w:val="1007"/>
    <w:link w:val="1003"/>
    <w:uiPriority w:val="9"/>
    <w:rPr>
      <w:rFonts w:ascii="Arial" w:hAnsi="Arial" w:eastAsia="Arial" w:cs="Arial"/>
      <w:b/>
      <w:bCs/>
      <w:sz w:val="22"/>
      <w:szCs w:val="22"/>
    </w:rPr>
  </w:style>
  <w:style w:type="character" w:styleId="858">
    <w:name w:val="Heading 7 Char"/>
    <w:basedOn w:val="1007"/>
    <w:link w:val="10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9">
    <w:name w:val="Heading 8 Char"/>
    <w:basedOn w:val="1007"/>
    <w:link w:val="1005"/>
    <w:uiPriority w:val="9"/>
    <w:rPr>
      <w:rFonts w:ascii="Arial" w:hAnsi="Arial" w:eastAsia="Arial" w:cs="Arial"/>
      <w:i/>
      <w:iCs/>
      <w:sz w:val="22"/>
      <w:szCs w:val="22"/>
    </w:rPr>
  </w:style>
  <w:style w:type="character" w:styleId="860">
    <w:name w:val="Heading 9 Char"/>
    <w:basedOn w:val="1007"/>
    <w:link w:val="1006"/>
    <w:uiPriority w:val="9"/>
    <w:rPr>
      <w:rFonts w:ascii="Arial" w:hAnsi="Arial" w:eastAsia="Arial" w:cs="Arial"/>
      <w:i/>
      <w:iCs/>
      <w:sz w:val="21"/>
      <w:szCs w:val="21"/>
    </w:rPr>
  </w:style>
  <w:style w:type="paragraph" w:styleId="861">
    <w:name w:val="Title"/>
    <w:basedOn w:val="997"/>
    <w:next w:val="997"/>
    <w:link w:val="8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2">
    <w:name w:val="Title Char"/>
    <w:basedOn w:val="1007"/>
    <w:link w:val="861"/>
    <w:uiPriority w:val="10"/>
    <w:rPr>
      <w:sz w:val="48"/>
      <w:szCs w:val="48"/>
    </w:rPr>
  </w:style>
  <w:style w:type="character" w:styleId="863">
    <w:name w:val="Subtitle Char"/>
    <w:basedOn w:val="1007"/>
    <w:link w:val="1061"/>
    <w:uiPriority w:val="11"/>
    <w:rPr>
      <w:sz w:val="24"/>
      <w:szCs w:val="24"/>
    </w:rPr>
  </w:style>
  <w:style w:type="character" w:styleId="864">
    <w:name w:val="Quote Char"/>
    <w:link w:val="1065"/>
    <w:uiPriority w:val="29"/>
    <w:rPr>
      <w:i/>
    </w:rPr>
  </w:style>
  <w:style w:type="character" w:styleId="865">
    <w:name w:val="Intense Quote Char"/>
    <w:link w:val="1067"/>
    <w:uiPriority w:val="30"/>
    <w:rPr>
      <w:i/>
    </w:rPr>
  </w:style>
  <w:style w:type="character" w:styleId="866">
    <w:name w:val="Header Char"/>
    <w:basedOn w:val="1007"/>
    <w:link w:val="1019"/>
    <w:uiPriority w:val="99"/>
  </w:style>
  <w:style w:type="character" w:styleId="867">
    <w:name w:val="Footer Char"/>
    <w:basedOn w:val="1007"/>
    <w:link w:val="1022"/>
    <w:uiPriority w:val="99"/>
  </w:style>
  <w:style w:type="character" w:styleId="868">
    <w:name w:val="Caption Char"/>
    <w:basedOn w:val="1059"/>
    <w:link w:val="1022"/>
    <w:uiPriority w:val="99"/>
  </w:style>
  <w:style w:type="table" w:styleId="869">
    <w:name w:val="Table Grid Light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0">
    <w:name w:val="Plain Table 1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2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2">
    <w:name w:val="Plain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3">
    <w:name w:val="Plain Table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Plain Table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5">
    <w:name w:val="Grid Table 1 Light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1 Light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Grid Table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2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4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7">
    <w:name w:val="Grid Table 4 - Accent 1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8">
    <w:name w:val="Grid Table 4 - Accent 2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9">
    <w:name w:val="Grid Table 4 - Accent 3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0">
    <w:name w:val="Grid Table 4 - Accent 4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1">
    <w:name w:val="Grid Table 4 - Accent 5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2">
    <w:name w:val="Grid Table 4 - Accent 6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3">
    <w:name w:val="Grid Table 5 Dark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4">
    <w:name w:val="Grid Table 5 Dark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06">
    <w:name w:val="Grid Table 5 Dark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07">
    <w:name w:val="Grid Table 5 Dark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09">
    <w:name w:val="Grid Table 5 Dark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0">
    <w:name w:val="Grid Table 6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1">
    <w:name w:val="Grid Table 6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2">
    <w:name w:val="Grid Table 6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3">
    <w:name w:val="Grid Table 6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4">
    <w:name w:val="Grid Table 6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5">
    <w:name w:val="Grid Table 6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6">
    <w:name w:val="Grid Table 6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7">
    <w:name w:val="Grid Table 7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7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2">
    <w:name w:val="List Table 2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3">
    <w:name w:val="List Table 2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4">
    <w:name w:val="List Table 2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5">
    <w:name w:val="List Table 2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6">
    <w:name w:val="List Table 2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7">
    <w:name w:val="List Table 2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8">
    <w:name w:val="List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3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5 Dark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5 Dark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9">
    <w:name w:val="List Table 6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0">
    <w:name w:val="List Table 6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1">
    <w:name w:val="List Table 6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2">
    <w:name w:val="List Table 6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3">
    <w:name w:val="List Table 6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4">
    <w:name w:val="List Table 6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5">
    <w:name w:val="List Table 6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6">
    <w:name w:val="List Table 7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7">
    <w:name w:val="List Table 7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68">
    <w:name w:val="List Table 7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9">
    <w:name w:val="List Table 7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0">
    <w:name w:val="List Table 7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1">
    <w:name w:val="List Table 7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72">
    <w:name w:val="List Table 7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73">
    <w:name w:val="Lined - Accent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4">
    <w:name w:val="Lined - Accent 1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5">
    <w:name w:val="Lined - Accent 2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6">
    <w:name w:val="Lined - Accent 3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7">
    <w:name w:val="Lined - Accent 4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8">
    <w:name w:val="Lined - Accent 5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9">
    <w:name w:val="Lined - Accent 6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0">
    <w:name w:val="Bordered &amp; Lined - Accent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Bordered &amp; Lined - Accent 1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82">
    <w:name w:val="Bordered &amp; Lined - Accent 2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Bordered &amp; Lined - Accent 3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Bordered &amp; Lined - Accent 4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Bordered &amp; Lined - Accent 5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86">
    <w:name w:val="Bordered &amp; Lined - Accent 6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8">
    <w:name w:val="Bordered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9">
    <w:name w:val="Bordered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0">
    <w:name w:val="Bordered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1">
    <w:name w:val="Bordered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2">
    <w:name w:val="Bordered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3">
    <w:name w:val="Bordered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4">
    <w:name w:val="Footnote Text Char"/>
    <w:link w:val="1013"/>
    <w:uiPriority w:val="99"/>
    <w:rPr>
      <w:sz w:val="18"/>
    </w:rPr>
  </w:style>
  <w:style w:type="character" w:styleId="995">
    <w:name w:val="Endnote Text Char"/>
    <w:link w:val="1107"/>
    <w:uiPriority w:val="99"/>
    <w:rPr>
      <w:sz w:val="20"/>
    </w:rPr>
  </w:style>
  <w:style w:type="paragraph" w:styleId="996">
    <w:name w:val="table of figures"/>
    <w:basedOn w:val="997"/>
    <w:next w:val="997"/>
    <w:uiPriority w:val="99"/>
    <w:unhideWhenUsed/>
    <w:pPr>
      <w:spacing w:after="0" w:afterAutospacing="0"/>
    </w:pPr>
  </w:style>
  <w:style w:type="paragraph" w:styleId="997" w:default="1">
    <w:name w:val="Normal"/>
    <w:qFormat/>
    <w:rPr>
      <w:sz w:val="28"/>
      <w:szCs w:val="28"/>
    </w:rPr>
  </w:style>
  <w:style w:type="paragraph" w:styleId="998">
    <w:name w:val="Heading 1"/>
    <w:basedOn w:val="1000"/>
    <w:next w:val="997"/>
    <w:link w:val="1051"/>
    <w:qFormat/>
    <w:pPr>
      <w:numPr>
        <w:ilvl w:val="0"/>
      </w:numPr>
      <w:outlineLvl w:val="0"/>
    </w:pPr>
    <w:rPr>
      <w:sz w:val="28"/>
      <w:szCs w:val="28"/>
    </w:rPr>
  </w:style>
  <w:style w:type="paragraph" w:styleId="999">
    <w:name w:val="Heading 2"/>
    <w:basedOn w:val="1001"/>
    <w:next w:val="997"/>
    <w:link w:val="1053"/>
    <w:qFormat/>
    <w:pPr>
      <w:outlineLvl w:val="1"/>
    </w:pPr>
  </w:style>
  <w:style w:type="paragraph" w:styleId="1000">
    <w:name w:val="Heading 3"/>
    <w:basedOn w:val="997"/>
    <w:next w:val="997"/>
    <w:link w:val="1054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1001">
    <w:name w:val="Heading 4"/>
    <w:basedOn w:val="1000"/>
    <w:next w:val="997"/>
    <w:link w:val="1055"/>
    <w:qFormat/>
    <w:pPr>
      <w:numPr>
        <w:ilvl w:val="1"/>
      </w:numPr>
      <w:outlineLvl w:val="3"/>
    </w:pPr>
    <w:rPr>
      <w:bCs/>
    </w:rPr>
  </w:style>
  <w:style w:type="paragraph" w:styleId="1002">
    <w:name w:val="Heading 5"/>
    <w:basedOn w:val="997"/>
    <w:next w:val="997"/>
    <w:link w:val="105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003">
    <w:name w:val="Heading 6"/>
    <w:basedOn w:val="997"/>
    <w:next w:val="997"/>
    <w:link w:val="104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004">
    <w:name w:val="Heading 7"/>
    <w:basedOn w:val="997"/>
    <w:next w:val="997"/>
    <w:link w:val="104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005">
    <w:name w:val="Heading 8"/>
    <w:basedOn w:val="997"/>
    <w:next w:val="997"/>
    <w:link w:val="105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1006">
    <w:name w:val="Heading 9"/>
    <w:basedOn w:val="997"/>
    <w:next w:val="997"/>
    <w:link w:val="105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1007" w:default="1">
    <w:name w:val="Default Paragraph Font"/>
    <w:uiPriority w:val="1"/>
    <w:semiHidden/>
    <w:unhideWhenUsed/>
  </w:style>
  <w:style w:type="table" w:styleId="10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9" w:default="1">
    <w:name w:val="No List"/>
    <w:uiPriority w:val="99"/>
    <w:semiHidden/>
    <w:unhideWhenUsed/>
  </w:style>
  <w:style w:type="paragraph" w:styleId="1010" w:customStyle="1">
    <w:name w:val="Название раздела инструкции"/>
    <w:basedOn w:val="997"/>
    <w:pPr>
      <w:jc w:val="center"/>
    </w:pPr>
    <w:rPr>
      <w:b/>
    </w:rPr>
  </w:style>
  <w:style w:type="paragraph" w:styleId="1011" w:customStyle="1">
    <w:name w:val="Раздел положения"/>
    <w:basedOn w:val="99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12" w:customStyle="1">
    <w:name w:val="Подраздел раздела положения"/>
    <w:basedOn w:val="997"/>
    <w:pPr>
      <w:numPr>
        <w:ilvl w:val="1"/>
        <w:numId w:val="1"/>
      </w:numPr>
      <w:jc w:val="both"/>
      <w:spacing w:before="80" w:after="80"/>
    </w:pPr>
  </w:style>
  <w:style w:type="paragraph" w:styleId="1013">
    <w:name w:val="footnote text"/>
    <w:basedOn w:val="997"/>
    <w:link w:val="1087"/>
    <w:uiPriority w:val="99"/>
    <w:rPr>
      <w:sz w:val="20"/>
      <w:szCs w:val="20"/>
    </w:rPr>
  </w:style>
  <w:style w:type="character" w:styleId="1014">
    <w:name w:val="footnote reference"/>
    <w:uiPriority w:val="99"/>
    <w:rPr>
      <w:vertAlign w:val="superscript"/>
    </w:rPr>
  </w:style>
  <w:style w:type="paragraph" w:styleId="1015" w:customStyle="1">
    <w:name w:val="Шапка 1"/>
    <w:basedOn w:val="99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16" w:customStyle="1">
    <w:name w:val="Шапка 2"/>
    <w:basedOn w:val="99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17" w:customStyle="1">
    <w:name w:val="Шапка 3"/>
    <w:basedOn w:val="99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18" w:customStyle="1">
    <w:name w:val="Название1"/>
    <w:basedOn w:val="997"/>
    <w:link w:val="1060"/>
    <w:uiPriority w:val="10"/>
    <w:qFormat/>
    <w:pPr>
      <w:jc w:val="center"/>
    </w:pPr>
    <w:rPr>
      <w:szCs w:val="20"/>
    </w:rPr>
  </w:style>
  <w:style w:type="paragraph" w:styleId="1019">
    <w:name w:val="Header"/>
    <w:basedOn w:val="997"/>
    <w:link w:val="110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20">
    <w:name w:val="Body Text Indent"/>
    <w:basedOn w:val="997"/>
    <w:pPr>
      <w:ind w:left="360"/>
    </w:pPr>
    <w:rPr>
      <w:sz w:val="24"/>
      <w:szCs w:val="24"/>
    </w:rPr>
  </w:style>
  <w:style w:type="table" w:styleId="1021">
    <w:name w:val="Table Grid"/>
    <w:basedOn w:val="100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2">
    <w:name w:val="Footer"/>
    <w:basedOn w:val="997"/>
    <w:pPr>
      <w:tabs>
        <w:tab w:val="center" w:pos="4677" w:leader="none"/>
        <w:tab w:val="right" w:pos="9355" w:leader="none"/>
      </w:tabs>
    </w:pPr>
  </w:style>
  <w:style w:type="paragraph" w:styleId="1023">
    <w:name w:val="Body Text"/>
    <w:basedOn w:val="997"/>
    <w:link w:val="1090"/>
    <w:pPr>
      <w:spacing w:after="120"/>
    </w:pPr>
  </w:style>
  <w:style w:type="paragraph" w:styleId="1024">
    <w:name w:val="Body Text Indent 2"/>
    <w:basedOn w:val="997"/>
    <w:pPr>
      <w:ind w:left="283"/>
      <w:spacing w:after="120" w:line="480" w:lineRule="auto"/>
    </w:pPr>
  </w:style>
  <w:style w:type="paragraph" w:styleId="1025">
    <w:name w:val="Body Text 3"/>
    <w:basedOn w:val="997"/>
    <w:pPr>
      <w:spacing w:after="120"/>
    </w:pPr>
    <w:rPr>
      <w:sz w:val="16"/>
      <w:szCs w:val="16"/>
    </w:rPr>
  </w:style>
  <w:style w:type="paragraph" w:styleId="1026">
    <w:name w:val="Body Text Indent 3"/>
    <w:basedOn w:val="997"/>
    <w:link w:val="1121"/>
    <w:pPr>
      <w:ind w:left="283"/>
      <w:spacing w:after="120"/>
    </w:pPr>
    <w:rPr>
      <w:sz w:val="16"/>
      <w:szCs w:val="16"/>
    </w:rPr>
  </w:style>
  <w:style w:type="paragraph" w:styleId="1027">
    <w:name w:val="Body Text 2"/>
    <w:basedOn w:val="997"/>
    <w:pPr>
      <w:spacing w:after="120" w:line="480" w:lineRule="auto"/>
    </w:pPr>
  </w:style>
  <w:style w:type="paragraph" w:styleId="1028">
    <w:name w:val="Block Text"/>
    <w:basedOn w:val="997"/>
    <w:pPr>
      <w:ind w:left="-567" w:right="-766"/>
      <w:jc w:val="center"/>
    </w:pPr>
    <w:rPr>
      <w:b/>
      <w:bCs/>
      <w:sz w:val="24"/>
      <w:szCs w:val="20"/>
    </w:rPr>
  </w:style>
  <w:style w:type="paragraph" w:styleId="1029" w:customStyle="1">
    <w:name w:val="Подпункт"/>
    <w:basedOn w:val="997"/>
    <w:link w:val="108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30" w:customStyle="1">
    <w:name w:val="Пункт2"/>
    <w:basedOn w:val="997"/>
    <w:link w:val="111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31">
    <w:name w:val="page number"/>
    <w:basedOn w:val="1007"/>
  </w:style>
  <w:style w:type="paragraph" w:styleId="1032">
    <w:name w:val="toc 1"/>
    <w:basedOn w:val="997"/>
    <w:next w:val="99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33">
    <w:name w:val="toc 3"/>
    <w:basedOn w:val="997"/>
    <w:next w:val="99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34">
    <w:name w:val="Hyperlink"/>
    <w:uiPriority w:val="99"/>
    <w:rPr>
      <w:color w:val="0000ff"/>
      <w:u w:val="single"/>
    </w:rPr>
  </w:style>
  <w:style w:type="paragraph" w:styleId="1035" w:customStyle="1">
    <w:name w:val="Раздел регламента"/>
    <w:basedOn w:val="997"/>
  </w:style>
  <w:style w:type="paragraph" w:styleId="1036" w:customStyle="1">
    <w:name w:val="Приложение к регламенту"/>
    <w:basedOn w:val="997"/>
    <w:pPr>
      <w:jc w:val="right"/>
    </w:pPr>
  </w:style>
  <w:style w:type="paragraph" w:styleId="1037">
    <w:name w:val="toc 2"/>
    <w:basedOn w:val="997"/>
    <w:next w:val="99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38">
    <w:name w:val="Balloon Text"/>
    <w:basedOn w:val="997"/>
    <w:semiHidden/>
    <w:rPr>
      <w:rFonts w:ascii="Tahoma" w:hAnsi="Tahoma" w:cs="Tahoma"/>
      <w:sz w:val="16"/>
      <w:szCs w:val="16"/>
    </w:rPr>
  </w:style>
  <w:style w:type="character" w:styleId="1039">
    <w:name w:val="annotation reference"/>
    <w:rPr>
      <w:sz w:val="16"/>
      <w:szCs w:val="16"/>
    </w:rPr>
  </w:style>
  <w:style w:type="paragraph" w:styleId="1040">
    <w:name w:val="annotation text"/>
    <w:basedOn w:val="997"/>
    <w:link w:val="1105"/>
    <w:rPr>
      <w:sz w:val="20"/>
      <w:szCs w:val="20"/>
    </w:rPr>
  </w:style>
  <w:style w:type="paragraph" w:styleId="1041">
    <w:name w:val="annotation subject"/>
    <w:basedOn w:val="1040"/>
    <w:next w:val="1040"/>
    <w:semiHidden/>
    <w:rPr>
      <w:b/>
      <w:bCs/>
    </w:rPr>
  </w:style>
  <w:style w:type="paragraph" w:styleId="1042" w:customStyle="1">
    <w:name w:val="Обычный (веб)1"/>
    <w:basedOn w:val="99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43">
    <w:name w:val="toc 9"/>
    <w:basedOn w:val="997"/>
    <w:next w:val="99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44">
    <w:name w:val="toc 5"/>
    <w:basedOn w:val="997"/>
    <w:next w:val="99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45">
    <w:name w:val="toc 4"/>
    <w:basedOn w:val="997"/>
    <w:next w:val="99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46" w:customStyle="1">
    <w:name w:val="Раздел положения 2"/>
    <w:basedOn w:val="997"/>
    <w:pPr>
      <w:jc w:val="both"/>
      <w:pageBreakBefore/>
      <w:outlineLvl w:val="0"/>
    </w:pPr>
    <w:rPr>
      <w:b/>
    </w:rPr>
  </w:style>
  <w:style w:type="character" w:styleId="1047">
    <w:name w:val="Strong"/>
    <w:qFormat/>
    <w:rPr>
      <w:b/>
      <w:bCs/>
    </w:rPr>
  </w:style>
  <w:style w:type="character" w:styleId="1048" w:customStyle="1">
    <w:name w:val="Заголовок 6 Знак"/>
    <w:link w:val="1003"/>
    <w:uiPriority w:val="9"/>
    <w:rPr>
      <w:rFonts w:ascii="Cambria" w:hAnsi="Cambria"/>
      <w:i/>
      <w:iCs/>
      <w:color w:val="243f60"/>
    </w:rPr>
  </w:style>
  <w:style w:type="character" w:styleId="1049" w:customStyle="1">
    <w:name w:val="Заголовок 7 Знак"/>
    <w:link w:val="1004"/>
    <w:uiPriority w:val="9"/>
    <w:rPr>
      <w:rFonts w:ascii="Cambria" w:hAnsi="Cambria"/>
      <w:i/>
      <w:iCs/>
      <w:color w:val="404040"/>
    </w:rPr>
  </w:style>
  <w:style w:type="character" w:styleId="1050" w:customStyle="1">
    <w:name w:val="Заголовок 8 Знак"/>
    <w:link w:val="1005"/>
    <w:uiPriority w:val="9"/>
    <w:rPr>
      <w:rFonts w:ascii="Cambria" w:hAnsi="Cambria"/>
      <w:color w:val="4f81bd"/>
    </w:rPr>
  </w:style>
  <w:style w:type="character" w:styleId="1051" w:customStyle="1">
    <w:name w:val="Заголовок 1 Знак"/>
    <w:link w:val="998"/>
    <w:rPr>
      <w:rFonts w:eastAsia="Calibri"/>
      <w:b/>
      <w:sz w:val="28"/>
      <w:szCs w:val="28"/>
    </w:rPr>
  </w:style>
  <w:style w:type="paragraph" w:styleId="1052" w:customStyle="1">
    <w:name w:val="Знак Знак Знак Знак Знак Знак Знак Знак Знак"/>
    <w:basedOn w:val="99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53" w:customStyle="1">
    <w:name w:val="Заголовок 2 Знак"/>
    <w:link w:val="999"/>
    <w:rPr>
      <w:rFonts w:eastAsia="Calibri"/>
      <w:b/>
      <w:bCs/>
      <w:sz w:val="24"/>
      <w:szCs w:val="24"/>
    </w:rPr>
  </w:style>
  <w:style w:type="character" w:styleId="1054" w:customStyle="1">
    <w:name w:val="Заголовок 3 Знак"/>
    <w:link w:val="1000"/>
    <w:rPr>
      <w:rFonts w:eastAsia="Calibri"/>
      <w:b/>
      <w:sz w:val="24"/>
      <w:szCs w:val="24"/>
    </w:rPr>
  </w:style>
  <w:style w:type="character" w:styleId="1055" w:customStyle="1">
    <w:name w:val="Заголовок 4 Знак"/>
    <w:link w:val="1001"/>
    <w:rPr>
      <w:rFonts w:eastAsia="Calibri"/>
      <w:b/>
      <w:bCs/>
      <w:sz w:val="24"/>
      <w:szCs w:val="24"/>
    </w:rPr>
  </w:style>
  <w:style w:type="character" w:styleId="1056" w:customStyle="1">
    <w:name w:val="Заголовок 5 Знак"/>
    <w:link w:val="1002"/>
    <w:uiPriority w:val="9"/>
    <w:rPr>
      <w:b/>
      <w:bCs/>
      <w:i/>
      <w:iCs/>
      <w:sz w:val="26"/>
      <w:szCs w:val="26"/>
    </w:rPr>
  </w:style>
  <w:style w:type="character" w:styleId="1057" w:customStyle="1">
    <w:name w:val="Заголовок 9 Знак"/>
    <w:link w:val="1006"/>
    <w:uiPriority w:val="9"/>
    <w:rPr>
      <w:rFonts w:ascii="Arial" w:hAnsi="Arial" w:cs="Arial"/>
      <w:sz w:val="22"/>
      <w:szCs w:val="22"/>
    </w:rPr>
  </w:style>
  <w:style w:type="paragraph" w:styleId="1058">
    <w:name w:val="No Spacing"/>
    <w:basedOn w:val="99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59">
    <w:name w:val="Caption"/>
    <w:basedOn w:val="997"/>
    <w:next w:val="997"/>
    <w:link w:val="86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60" w:customStyle="1">
    <w:name w:val="Название Знак"/>
    <w:link w:val="1018"/>
    <w:uiPriority w:val="10"/>
    <w:rPr>
      <w:sz w:val="28"/>
    </w:rPr>
  </w:style>
  <w:style w:type="paragraph" w:styleId="1061">
    <w:name w:val="Subtitle"/>
    <w:basedOn w:val="997"/>
    <w:next w:val="997"/>
    <w:link w:val="106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2" w:customStyle="1">
    <w:name w:val="Подзаголовок Знак"/>
    <w:link w:val="106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3">
    <w:name w:val="Emphasis"/>
    <w:uiPriority w:val="20"/>
    <w:qFormat/>
    <w:rPr>
      <w:i/>
      <w:iCs/>
    </w:rPr>
  </w:style>
  <w:style w:type="paragraph" w:styleId="1064">
    <w:name w:val="List Paragraph"/>
    <w:basedOn w:val="997"/>
    <w:link w:val="109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65">
    <w:name w:val="Quote"/>
    <w:basedOn w:val="997"/>
    <w:next w:val="997"/>
    <w:link w:val="106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66" w:customStyle="1">
    <w:name w:val="Цитата 2 Знак"/>
    <w:link w:val="1065"/>
    <w:uiPriority w:val="29"/>
    <w:rPr>
      <w:rFonts w:ascii="Calibri" w:hAnsi="Calibri" w:eastAsia="Calibri"/>
      <w:i/>
      <w:iCs/>
      <w:color w:val="000000"/>
    </w:rPr>
  </w:style>
  <w:style w:type="paragraph" w:styleId="1067">
    <w:name w:val="Intense Quote"/>
    <w:basedOn w:val="997"/>
    <w:next w:val="997"/>
    <w:link w:val="106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68" w:customStyle="1">
    <w:name w:val="Выделенная цитата Знак"/>
    <w:link w:val="106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69">
    <w:name w:val="Subtle Emphasis"/>
    <w:uiPriority w:val="19"/>
    <w:qFormat/>
    <w:rPr>
      <w:i/>
      <w:iCs/>
      <w:color w:val="808080"/>
    </w:rPr>
  </w:style>
  <w:style w:type="character" w:styleId="1070">
    <w:name w:val="Intense Emphasis"/>
    <w:uiPriority w:val="21"/>
    <w:qFormat/>
    <w:rPr>
      <w:b/>
      <w:bCs/>
      <w:i/>
      <w:iCs/>
      <w:color w:val="4f81bd"/>
    </w:rPr>
  </w:style>
  <w:style w:type="character" w:styleId="1071">
    <w:name w:val="Subtle Reference"/>
    <w:uiPriority w:val="31"/>
    <w:qFormat/>
    <w:rPr>
      <w:smallCaps/>
      <w:color w:val="c0504d"/>
      <w:u w:val="single"/>
    </w:rPr>
  </w:style>
  <w:style w:type="character" w:styleId="107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73">
    <w:name w:val="Book Title"/>
    <w:uiPriority w:val="33"/>
    <w:qFormat/>
    <w:rPr>
      <w:b/>
      <w:bCs/>
      <w:smallCaps/>
      <w:spacing w:val="5"/>
    </w:rPr>
  </w:style>
  <w:style w:type="paragraph" w:styleId="1074">
    <w:name w:val="TOC Heading"/>
    <w:basedOn w:val="998"/>
    <w:next w:val="99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75">
    <w:name w:val="E-mail Signature"/>
    <w:basedOn w:val="997"/>
    <w:link w:val="1076"/>
    <w:uiPriority w:val="99"/>
    <w:unhideWhenUsed/>
    <w:rPr>
      <w:rFonts w:eastAsia="Calibri"/>
      <w:sz w:val="24"/>
      <w:szCs w:val="24"/>
    </w:rPr>
  </w:style>
  <w:style w:type="character" w:styleId="1076" w:customStyle="1">
    <w:name w:val="Электронная подпись Знак"/>
    <w:link w:val="1075"/>
    <w:uiPriority w:val="99"/>
    <w:rPr>
      <w:rFonts w:eastAsia="Calibri"/>
      <w:sz w:val="24"/>
      <w:szCs w:val="24"/>
    </w:rPr>
  </w:style>
  <w:style w:type="paragraph" w:styleId="1077" w:customStyle="1">
    <w:name w:val="Знак"/>
    <w:basedOn w:val="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8" w:customStyle="1">
    <w:name w:val="Нумерованный список ур3"/>
    <w:basedOn w:val="99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79" w:customStyle="1">
    <w:name w:val="Нумерованный список 1"/>
    <w:basedOn w:val="99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0" w:customStyle="1">
    <w:name w:val="Нумерованный список ур2"/>
    <w:basedOn w:val="99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1">
    <w:name w:val="Revision"/>
    <w:hidden/>
    <w:uiPriority w:val="99"/>
    <w:semiHidden/>
    <w:rPr>
      <w:rFonts w:eastAsia="Calibri"/>
      <w:sz w:val="24"/>
      <w:szCs w:val="24"/>
    </w:rPr>
  </w:style>
  <w:style w:type="paragraph" w:styleId="1082" w:customStyle="1">
    <w:name w:val="ConsPlusNormal"/>
    <w:link w:val="1124"/>
    <w:pPr>
      <w:ind w:firstLine="720"/>
      <w:widowControl w:val="off"/>
    </w:pPr>
    <w:rPr>
      <w:rFonts w:ascii="Arial" w:hAnsi="Arial" w:cs="Arial"/>
    </w:rPr>
  </w:style>
  <w:style w:type="paragraph" w:styleId="1083" w:customStyle="1">
    <w:name w:val="Знак Знак3 Знак Знак"/>
    <w:basedOn w:val="99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84" w:customStyle="1">
    <w:name w:val="Пункт"/>
    <w:basedOn w:val="99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85" w:customStyle="1">
    <w:name w:val="Подпункт Знак1"/>
    <w:link w:val="1029"/>
    <w:rPr>
      <w:sz w:val="28"/>
    </w:rPr>
  </w:style>
  <w:style w:type="paragraph" w:styleId="1086" w:customStyle="1">
    <w:name w:val="Абзац списка1"/>
    <w:basedOn w:val="99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87" w:customStyle="1">
    <w:name w:val="Текст сноски Знак"/>
    <w:link w:val="1013"/>
    <w:uiPriority w:val="99"/>
  </w:style>
  <w:style w:type="numbering" w:styleId="1088" w:customStyle="1">
    <w:name w:val="Стиль1"/>
    <w:uiPriority w:val="99"/>
    <w:pPr>
      <w:numPr>
        <w:ilvl w:val="0"/>
        <w:numId w:val="3"/>
      </w:numPr>
    </w:pPr>
  </w:style>
  <w:style w:type="paragraph" w:styleId="1089" w:customStyle="1">
    <w:name w:val="Таблица"/>
    <w:basedOn w:val="99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90" w:customStyle="1">
    <w:name w:val="Основной текст Знак"/>
    <w:link w:val="1023"/>
    <w:rPr>
      <w:sz w:val="28"/>
      <w:szCs w:val="28"/>
    </w:rPr>
  </w:style>
  <w:style w:type="character" w:styleId="1091" w:customStyle="1">
    <w:name w:val="blk"/>
  </w:style>
  <w:style w:type="numbering" w:styleId="1092" w:customStyle="1">
    <w:name w:val="Стиль2"/>
    <w:uiPriority w:val="99"/>
    <w:pPr>
      <w:numPr>
        <w:ilvl w:val="0"/>
        <w:numId w:val="5"/>
      </w:numPr>
    </w:pPr>
  </w:style>
  <w:style w:type="paragraph" w:styleId="1093" w:customStyle="1">
    <w:name w:val="Таблица шапка"/>
    <w:basedOn w:val="997"/>
    <w:pPr>
      <w:ind w:left="57" w:right="57"/>
      <w:keepNext/>
      <w:spacing w:before="40" w:after="40"/>
    </w:pPr>
    <w:rPr>
      <w:sz w:val="22"/>
      <w:szCs w:val="26"/>
    </w:rPr>
  </w:style>
  <w:style w:type="character" w:styleId="1094" w:customStyle="1">
    <w:name w:val="Абзац списка Знак"/>
    <w:link w:val="1064"/>
    <w:uiPriority w:val="34"/>
    <w:rPr>
      <w:rFonts w:eastAsia="Calibri"/>
      <w:sz w:val="24"/>
      <w:szCs w:val="24"/>
    </w:rPr>
  </w:style>
  <w:style w:type="character" w:styleId="1095" w:customStyle="1">
    <w:name w:val="комментарий"/>
    <w:rPr>
      <w:b/>
      <w:i/>
      <w:shd w:val="clear" w:color="auto" w:fill="ffff99"/>
    </w:rPr>
  </w:style>
  <w:style w:type="paragraph" w:styleId="1096" w:customStyle="1">
    <w:name w:val="Подподпункт"/>
    <w:basedOn w:val="1029"/>
    <w:link w:val="109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97" w:customStyle="1">
    <w:name w:val="Подподпункт Знак"/>
    <w:link w:val="1096"/>
    <w:rPr>
      <w:sz w:val="26"/>
      <w:szCs w:val="26"/>
    </w:rPr>
  </w:style>
  <w:style w:type="paragraph" w:styleId="1098" w:customStyle="1">
    <w:name w:val="УРОВЕНЬ_(а)"/>
    <w:basedOn w:val="106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99" w:customStyle="1">
    <w:name w:val="УРОВЕНЬ_-"/>
    <w:basedOn w:val="106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00" w:customStyle="1">
    <w:name w:val="УРОВЕНЬ_Абзац_тип2"/>
    <w:basedOn w:val="106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1" w:customStyle="1">
    <w:name w:val="УРОВЕНЬ_Абзац_тип3"/>
    <w:basedOn w:val="1064"/>
    <w:link w:val="110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2" w:customStyle="1">
    <w:name w:val="УРОВЕНЬ_Подпись"/>
    <w:basedOn w:val="106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03" w:customStyle="1">
    <w:name w:val="УРОВЕНЬ_Абзац_тип3 Знак"/>
    <w:link w:val="1101"/>
    <w:rPr>
      <w:rFonts w:eastAsia="Calibri"/>
      <w:sz w:val="26"/>
      <w:szCs w:val="28"/>
      <w:lang w:eastAsia="en-US"/>
    </w:rPr>
  </w:style>
  <w:style w:type="character" w:styleId="1104" w:customStyle="1">
    <w:name w:val="Верхний колонтитул Знак"/>
    <w:link w:val="1019"/>
    <w:uiPriority w:val="99"/>
    <w:rPr>
      <w:sz w:val="24"/>
      <w:szCs w:val="24"/>
    </w:rPr>
  </w:style>
  <w:style w:type="character" w:styleId="1105" w:customStyle="1">
    <w:name w:val="Текст примечания Знак"/>
    <w:link w:val="1040"/>
  </w:style>
  <w:style w:type="paragraph" w:styleId="1106" w:customStyle="1">
    <w:name w:val="Стиль Заголовок 1 + по ширине"/>
    <w:basedOn w:val="99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107">
    <w:name w:val="endnote text"/>
    <w:basedOn w:val="997"/>
    <w:link w:val="1108"/>
    <w:rPr>
      <w:sz w:val="20"/>
      <w:szCs w:val="20"/>
    </w:rPr>
  </w:style>
  <w:style w:type="character" w:styleId="1108" w:customStyle="1">
    <w:name w:val="Текст концевой сноски Знак"/>
    <w:basedOn w:val="1007"/>
    <w:link w:val="1107"/>
  </w:style>
  <w:style w:type="character" w:styleId="1109">
    <w:name w:val="endnote reference"/>
    <w:basedOn w:val="1007"/>
    <w:rPr>
      <w:vertAlign w:val="superscript"/>
    </w:rPr>
  </w:style>
  <w:style w:type="paragraph" w:styleId="1110" w:customStyle="1">
    <w:name w:val="Заголовок 2 КВВ"/>
    <w:basedOn w:val="99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11" w:customStyle="1">
    <w:name w:val="Пункт2 Знак"/>
    <w:link w:val="1030"/>
    <w:rPr>
      <w:b/>
      <w:sz w:val="28"/>
    </w:rPr>
  </w:style>
  <w:style w:type="paragraph" w:styleId="1112" w:customStyle="1">
    <w:name w:val="Таблица текст"/>
    <w:basedOn w:val="997"/>
    <w:pPr>
      <w:ind w:left="57" w:right="57"/>
      <w:spacing w:before="40" w:after="40"/>
    </w:pPr>
    <w:rPr>
      <w:sz w:val="24"/>
      <w:szCs w:val="26"/>
    </w:rPr>
  </w:style>
  <w:style w:type="paragraph" w:styleId="1113">
    <w:name w:val="Normal (Web)"/>
    <w:basedOn w:val="99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14" w:customStyle="1">
    <w:name w:val="УРОВЕНЬ_1."/>
    <w:basedOn w:val="1064"/>
    <w:link w:val="111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15" w:customStyle="1">
    <w:name w:val="УРОВЕНЬ_1. Знак"/>
    <w:link w:val="1114"/>
    <w:rPr>
      <w:rFonts w:eastAsia="Calibri"/>
      <w:caps/>
      <w:sz w:val="28"/>
      <w:szCs w:val="28"/>
      <w:lang w:eastAsia="en-US"/>
    </w:rPr>
  </w:style>
  <w:style w:type="table" w:styleId="1116" w:customStyle="1">
    <w:name w:val="Сетка таблицы1"/>
    <w:basedOn w:val="1008"/>
    <w:next w:val="102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7">
    <w:name w:val="toc 6"/>
    <w:basedOn w:val="997"/>
    <w:next w:val="99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18">
    <w:name w:val="toc 7"/>
    <w:basedOn w:val="997"/>
    <w:next w:val="99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19">
    <w:name w:val="toc 8"/>
    <w:basedOn w:val="997"/>
    <w:next w:val="99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20" w:customStyle="1">
    <w:name w:val="Неразрешенное упоминание1"/>
    <w:basedOn w:val="1007"/>
    <w:uiPriority w:val="99"/>
    <w:semiHidden/>
    <w:unhideWhenUsed/>
    <w:rPr>
      <w:color w:val="605e5c"/>
      <w:shd w:val="clear" w:color="auto" w:fill="e1dfdd"/>
    </w:rPr>
  </w:style>
  <w:style w:type="character" w:styleId="1121" w:customStyle="1">
    <w:name w:val="Основной текст с отступом 3 Знак"/>
    <w:link w:val="1026"/>
    <w:rPr>
      <w:sz w:val="16"/>
      <w:szCs w:val="16"/>
    </w:rPr>
  </w:style>
  <w:style w:type="character" w:styleId="112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23">
    <w:name w:val="FollowedHyperlink"/>
    <w:basedOn w:val="1007"/>
    <w:semiHidden/>
    <w:unhideWhenUsed/>
    <w:rPr>
      <w:color w:val="954f72" w:themeColor="followedHyperlink"/>
      <w:u w:val="single"/>
    </w:rPr>
  </w:style>
  <w:style w:type="character" w:styleId="1124" w:customStyle="1">
    <w:name w:val="ConsPlusNormal Знак"/>
    <w:link w:val="1082"/>
    <w:rPr>
      <w:rFonts w:ascii="Arial" w:hAnsi="Arial" w:cs="Arial"/>
    </w:rPr>
  </w:style>
  <w:style w:type="paragraph" w:styleId="1125" w:customStyle="1">
    <w:name w:val="Пункт Знак"/>
    <w:basedOn w:val="99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26" w:customStyle="1">
    <w:name w:val="Подподподпункт"/>
    <w:basedOn w:val="99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27" w:customStyle="1">
    <w:name w:val="Пункт1"/>
    <w:basedOn w:val="99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image" Target="media/image2.emf"/><Relationship Id="rId15" Type="http://schemas.openxmlformats.org/officeDocument/2006/relationships/package" Target="embeddings/Microsoft_Excel_Worksheet1.xlsx"/><Relationship Id="rId16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18" Type="http://schemas.openxmlformats.org/officeDocument/2006/relationships/image" Target="media/image4.emf"/><Relationship Id="rId19" Type="http://schemas.openxmlformats.org/officeDocument/2006/relationships/package" Target="embeddings/Microsoft_Excel_Worksheet3.xls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E9E5-6B34-4914-936F-E5CF72A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r7-office/2025.4.1.1604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Александр Мамейчик</cp:lastModifiedBy>
  <cp:revision>12</cp:revision>
  <dcterms:created xsi:type="dcterms:W3CDTF">2024-07-22T01:04:00Z</dcterms:created>
  <dcterms:modified xsi:type="dcterms:W3CDTF">2026-05-07T00:28:15Z</dcterms:modified>
</cp:coreProperties>
</file>